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216E" w:rsidRPr="00853BAF" w:rsidTr="0021216E">
        <w:tc>
          <w:tcPr>
            <w:tcW w:w="9923" w:type="dxa"/>
          </w:tcPr>
          <w:p w:rsidR="0021216E" w:rsidRPr="00853BAF" w:rsidRDefault="00F34E66" w:rsidP="0021216E">
            <w:pPr>
              <w:ind w:left="4536"/>
              <w:outlineLvl w:val="0"/>
            </w:pPr>
            <w:r w:rsidRPr="00F34E66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7" o:title=""/>
                </v:shape>
              </w:pict>
            </w:r>
          </w:p>
          <w:p w:rsidR="0021216E" w:rsidRPr="00853BAF" w:rsidRDefault="0021216E" w:rsidP="0021216E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216E" w:rsidRPr="00853BAF" w:rsidRDefault="0021216E" w:rsidP="0021216E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216E" w:rsidRPr="00853BAF" w:rsidRDefault="0021216E" w:rsidP="0021216E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216E" w:rsidRPr="00853BAF" w:rsidRDefault="0021216E" w:rsidP="0021216E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216E" w:rsidRPr="00853BAF" w:rsidRDefault="0021216E" w:rsidP="0021216E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216E" w:rsidRPr="00853BAF" w:rsidRDefault="0021216E" w:rsidP="0021216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D03A6">
              <w:rPr>
                <w:u w:val="single"/>
              </w:rPr>
              <w:t>03.04.2015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9D03A6">
              <w:rPr>
                <w:u w:val="single"/>
              </w:rPr>
              <w:t>2730</w:t>
            </w:r>
            <w:r w:rsidRPr="00853BAF">
              <w:rPr>
                <w:u w:val="single"/>
              </w:rPr>
              <w:tab/>
            </w:r>
          </w:p>
          <w:p w:rsidR="0021216E" w:rsidRPr="00853BAF" w:rsidRDefault="0021216E" w:rsidP="0021216E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49729D" w:rsidTr="0021216E">
        <w:trPr>
          <w:trHeight w:val="540"/>
        </w:trPr>
        <w:tc>
          <w:tcPr>
            <w:tcW w:w="5494" w:type="dxa"/>
            <w:hideMark/>
          </w:tcPr>
          <w:p w:rsidR="0049729D" w:rsidRDefault="0049729D" w:rsidP="0021216E">
            <w:pPr>
              <w:widowControl/>
              <w:spacing w:after="600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>
              <w:t>к</w:t>
            </w:r>
            <w:r>
              <w:t>ции объектов капитального строительства</w:t>
            </w:r>
          </w:p>
        </w:tc>
      </w:tr>
    </w:tbl>
    <w:p w:rsidR="00563AB1" w:rsidRDefault="00563AB1" w:rsidP="0021216E">
      <w:pPr>
        <w:ind w:firstLine="709"/>
        <w:jc w:val="both"/>
      </w:pPr>
      <w:proofErr w:type="gramStart"/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>
        <w:t>е</w:t>
      </w:r>
      <w:r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t>н</w:t>
      </w:r>
      <w:r>
        <w:t>ного постановлением мэрии города Новосибирска от 10.06.2013 № 5459, на осн</w:t>
      </w:r>
      <w:r>
        <w:t>о</w:t>
      </w:r>
      <w:r>
        <w:t xml:space="preserve">вании заключения </w:t>
      </w:r>
      <w:r>
        <w:rPr>
          <w:spacing w:val="-3"/>
        </w:rPr>
        <w:t>по результатам публичных слушаний</w:t>
      </w:r>
      <w:proofErr w:type="gramEnd"/>
      <w:r>
        <w:rPr>
          <w:spacing w:val="-3"/>
        </w:rPr>
        <w:t xml:space="preserve"> по вопросам предоставления разрешений на отклонение от предельных параметров разрешенн</w:t>
      </w:r>
      <w:r>
        <w:rPr>
          <w:spacing w:val="-3"/>
        </w:rPr>
        <w:t>о</w:t>
      </w:r>
      <w:r>
        <w:rPr>
          <w:spacing w:val="-3"/>
        </w:rPr>
        <w:t xml:space="preserve">го строительства, </w:t>
      </w:r>
      <w:r>
        <w:rPr>
          <w:spacing w:val="-2"/>
        </w:rPr>
        <w:t>реконструкции объектов капитального строительства от</w:t>
      </w:r>
      <w:r w:rsidR="0021216E">
        <w:rPr>
          <w:spacing w:val="-2"/>
        </w:rPr>
        <w:t> </w:t>
      </w:r>
      <w:r>
        <w:rPr>
          <w:spacing w:val="-2"/>
        </w:rPr>
        <w:t>17.03.2015, р</w:t>
      </w:r>
      <w:r>
        <w:t>екомендаций комиссии по подготовке проекта правил землепол</w:t>
      </w:r>
      <w:r>
        <w:t>ь</w:t>
      </w:r>
      <w:r>
        <w:t xml:space="preserve">зования и </w:t>
      </w:r>
      <w:proofErr w:type="gramStart"/>
      <w:r>
        <w:t>застройки города</w:t>
      </w:r>
      <w:proofErr w:type="gramEnd"/>
      <w:r>
        <w:t xml:space="preserve"> Новосибирска о предоставлении и</w:t>
      </w:r>
      <w:r w:rsidR="0021216E">
        <w:t xml:space="preserve"> </w:t>
      </w:r>
      <w:r>
        <w:t>об отказе в предо</w:t>
      </w:r>
      <w:r>
        <w:t>с</w:t>
      </w:r>
      <w:r>
        <w:t>тавлении разрешений на отклонение от предельных параметров разрешенного строительства, реконструкции объектов капитального строительства от 01</w:t>
      </w:r>
      <w:r w:rsidRPr="001B6BA2">
        <w:t>.0</w:t>
      </w:r>
      <w:r>
        <w:t>4</w:t>
      </w:r>
      <w:r w:rsidRPr="001B6BA2">
        <w:t>.2015</w:t>
      </w:r>
      <w:r>
        <w:t xml:space="preserve"> ПОСТАНОВЛЯЮ:</w:t>
      </w:r>
    </w:p>
    <w:p w:rsidR="00563AB1" w:rsidRDefault="00563AB1" w:rsidP="0021216E">
      <w:pPr>
        <w:widowControl/>
        <w:ind w:firstLine="709"/>
        <w:jc w:val="both"/>
        <w:rPr>
          <w:spacing w:val="-2"/>
        </w:rPr>
      </w:pPr>
      <w:r>
        <w:t>1. Отказать в предоставлении разрешени</w:t>
      </w:r>
      <w:r w:rsidR="0021216E">
        <w:t>й</w:t>
      </w:r>
      <w:r>
        <w:t xml:space="preserve">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:rsidR="00563AB1" w:rsidRDefault="00563AB1" w:rsidP="0021216E">
      <w:pPr>
        <w:ind w:firstLine="709"/>
        <w:jc w:val="both"/>
        <w:outlineLvl w:val="0"/>
      </w:pPr>
      <w:r>
        <w:t>1.1. </w:t>
      </w:r>
      <w:proofErr w:type="spellStart"/>
      <w:r>
        <w:t>Зверковой</w:t>
      </w:r>
      <w:proofErr w:type="spellEnd"/>
      <w:r>
        <w:t xml:space="preserve"> Анне Сергеевне, </w:t>
      </w:r>
      <w:proofErr w:type="spellStart"/>
      <w:r>
        <w:t>Сурнину</w:t>
      </w:r>
      <w:proofErr w:type="spellEnd"/>
      <w:r>
        <w:t xml:space="preserve"> Егору Валерьевичу, Алексановой </w:t>
      </w:r>
      <w:proofErr w:type="spellStart"/>
      <w:r>
        <w:t>Снежане</w:t>
      </w:r>
      <w:proofErr w:type="spellEnd"/>
      <w:r>
        <w:t xml:space="preserve"> Владимировне (на основании заявления в связи с тем, что размер з</w:t>
      </w:r>
      <w:r>
        <w:t>е</w:t>
      </w:r>
      <w:r>
        <w:t xml:space="preserve">мельного участка меньше </w:t>
      </w:r>
      <w:r>
        <w:rPr>
          <w:rFonts w:eastAsia="Calibri"/>
          <w:lang w:eastAsia="en-US"/>
        </w:rPr>
        <w:t>установленных градостроительным регламентом мин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мальных размеров земельных участков):</w:t>
      </w:r>
    </w:p>
    <w:p w:rsidR="00563AB1" w:rsidRDefault="00563AB1" w:rsidP="0021216E">
      <w:pPr>
        <w:ind w:firstLine="709"/>
        <w:jc w:val="both"/>
        <w:outlineLvl w:val="0"/>
        <w:rPr>
          <w:bCs/>
        </w:rPr>
      </w:pPr>
      <w:r>
        <w:t xml:space="preserve">в части увеличения максимального процента застройки с 80 % до 82 % </w:t>
      </w:r>
      <w:r>
        <w:rPr>
          <w:bCs/>
          <w:iCs/>
        </w:rPr>
        <w:t xml:space="preserve">в </w:t>
      </w:r>
      <w:r>
        <w:t>границах земельного участка с кадастровым номером</w:t>
      </w:r>
      <w:r>
        <w:rPr>
          <w:bCs/>
        </w:rPr>
        <w:t xml:space="preserve"> 54:35:021305:147 </w:t>
      </w:r>
      <w:r>
        <w:t xml:space="preserve">площадью </w:t>
      </w:r>
      <w:r>
        <w:rPr>
          <w:bCs/>
        </w:rPr>
        <w:t>0,0310 га,</w:t>
      </w:r>
      <w:r>
        <w:t xml:space="preserve"> расположенного по адресу: обл. Новосибирская, г. Новосибирск, </w:t>
      </w:r>
      <w:r w:rsidR="0021216E">
        <w:t>пер. </w:t>
      </w:r>
      <w:r>
        <w:t>Фабричный, 3б в Железнодорожном районе (зона коммунальных и складских объектов (П-2)</w:t>
      </w:r>
      <w:r>
        <w:rPr>
          <w:bCs/>
        </w:rPr>
        <w:t>);</w:t>
      </w:r>
    </w:p>
    <w:p w:rsidR="0021216E" w:rsidRDefault="00563AB1" w:rsidP="002121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</w:t>
      </w:r>
      <w:r w:rsidRPr="0021216E">
        <w:rPr>
          <w:rFonts w:ascii="Times New Roman" w:hAnsi="Times New Roman" w:cs="Times New Roman"/>
          <w:sz w:val="24"/>
          <w:szCs w:val="28"/>
        </w:rPr>
        <w:t xml:space="preserve"> </w:t>
      </w:r>
      <w:r w:rsidR="0021216E" w:rsidRPr="002121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21216E">
        <w:rPr>
          <w:rFonts w:ascii="Times New Roman" w:hAnsi="Times New Roman" w:cs="Times New Roman"/>
          <w:sz w:val="28"/>
          <w:szCs w:val="28"/>
        </w:rPr>
        <w:t xml:space="preserve"> </w:t>
      </w:r>
      <w:r w:rsidRPr="002121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54:35:021305:147 </w:t>
      </w:r>
      <w:r w:rsidR="00212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площадью 0,0310 га, расположенного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21216E" w:rsidRDefault="0021216E" w:rsidP="002121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216E" w:rsidRDefault="0021216E" w:rsidP="002121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AB1" w:rsidRDefault="00563AB1" w:rsidP="002121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обл. Новосибирская, г. Новосибирск, </w:t>
      </w:r>
      <w:r w:rsidR="0021216E">
        <w:rPr>
          <w:rFonts w:ascii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hAnsi="Times New Roman" w:cs="Times New Roman"/>
          <w:sz w:val="28"/>
          <w:szCs w:val="28"/>
        </w:rPr>
        <w:t>Фабричный, 3б в Железнод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рожном районе (зона коммунальных и складских объектов (П-2)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 м до 0 м с северо-восточной, с 3 м до 0,74 м с северо-западной и с 3 м до 1,8 м с юго-восточной сторон в габаритах объекта капитального строительства в связи с письменным отказом от получения разрешения на отклонение от 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раметров разрешенного строительства, реконструкции объектов капитального строительства.</w:t>
      </w:r>
    </w:p>
    <w:p w:rsidR="00563AB1" w:rsidRDefault="00563AB1" w:rsidP="00212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«РАНТ.» (на основании заявления в связи с необходимостью сохранения зеленых насаждений) </w:t>
      </w:r>
      <w:r>
        <w:rPr>
          <w:rFonts w:ascii="Times New Roman" w:hAnsi="Times New Roman" w:cs="Times New Roman"/>
          <w:bCs/>
          <w:iCs/>
          <w:sz w:val="28"/>
          <w:szCs w:val="28"/>
        </w:rPr>
        <w:t>в части уменьшения минимального процента застройки с 10 % до 5 %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границах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с кадастровым номером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54:35:031855:331 </w:t>
      </w:r>
      <w:r>
        <w:rPr>
          <w:rFonts w:ascii="Times New Roman" w:hAnsi="Times New Roman" w:cs="Times New Roman"/>
          <w:sz w:val="28"/>
          <w:szCs w:val="28"/>
        </w:rPr>
        <w:t>площадью 2,0654 га,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положенного по адресу: обл. Новосибирская, г. Новосибирск,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</w:t>
      </w:r>
      <w:r w:rsidR="0021216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1216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(зона отдыха и оздоровления </w:t>
      </w:r>
      <w:r>
        <w:rPr>
          <w:rFonts w:ascii="Times New Roman" w:hAnsi="Times New Roman" w:cs="Times New Roman"/>
          <w:bCs/>
          <w:sz w:val="28"/>
          <w:szCs w:val="28"/>
        </w:rPr>
        <w:t>(Р-3))</w:t>
      </w:r>
      <w:r>
        <w:rPr>
          <w:rFonts w:ascii="Times New Roman" w:hAnsi="Times New Roman" w:cs="Times New Roman"/>
          <w:sz w:val="28"/>
          <w:szCs w:val="28"/>
        </w:rPr>
        <w:t>, в связи с отсутствием оснований,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 статьи 40 Градостроительного кодекса Российской Феде</w:t>
      </w:r>
      <w:r w:rsidR="0021216E">
        <w:rPr>
          <w:rFonts w:ascii="Times New Roman" w:hAnsi="Times New Roman" w:cs="Times New Roman"/>
          <w:sz w:val="28"/>
          <w:szCs w:val="28"/>
        </w:rPr>
        <w:t xml:space="preserve">рации,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2.13 административного регламента предоставления </w:t>
      </w:r>
      <w:r w:rsidR="002121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по предоставлению разрешения на отклонение от </w:t>
      </w:r>
      <w:r w:rsidR="00337F4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строительства, утвержденного постановлением мэрии города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сибирска от 10.06.2013 № 5459, а именно </w:t>
      </w:r>
      <w:r w:rsidR="0021216E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 w:cs="Times New Roman"/>
          <w:sz w:val="28"/>
          <w:szCs w:val="28"/>
        </w:rPr>
        <w:t>необходимость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зеленых насаждений не является характеристикой земельного участка</w:t>
      </w:r>
      <w:r w:rsidR="00337F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неблагоприятной для застройки. </w:t>
      </w:r>
      <w:proofErr w:type="gramEnd"/>
    </w:p>
    <w:p w:rsidR="00563AB1" w:rsidRDefault="00563AB1" w:rsidP="0021216E">
      <w:pPr>
        <w:ind w:left="34" w:firstLine="674"/>
        <w:jc w:val="both"/>
      </w:pPr>
      <w:r>
        <w:t>1.3. </w:t>
      </w:r>
      <w:proofErr w:type="spellStart"/>
      <w:r>
        <w:rPr>
          <w:bCs/>
        </w:rPr>
        <w:t>Налепе</w:t>
      </w:r>
      <w:proofErr w:type="spellEnd"/>
      <w:r>
        <w:rPr>
          <w:bCs/>
        </w:rPr>
        <w:t xml:space="preserve"> Сергею Анатольевичу, </w:t>
      </w:r>
      <w:proofErr w:type="spellStart"/>
      <w:r>
        <w:rPr>
          <w:bCs/>
        </w:rPr>
        <w:t>Джулаю</w:t>
      </w:r>
      <w:proofErr w:type="spellEnd"/>
      <w:r>
        <w:rPr>
          <w:bCs/>
        </w:rPr>
        <w:t xml:space="preserve"> Алексею Юрьевичу </w:t>
      </w:r>
      <w:r>
        <w:t>(на основ</w:t>
      </w:r>
      <w:r>
        <w:t>а</w:t>
      </w:r>
      <w:r>
        <w:t>нии заявления в связи с тем, что наличие инженерных сетей является неблагопр</w:t>
      </w:r>
      <w:r>
        <w:t>и</w:t>
      </w:r>
      <w:r>
        <w:t>ятным для застройки):</w:t>
      </w:r>
    </w:p>
    <w:p w:rsidR="00563AB1" w:rsidRDefault="00563AB1" w:rsidP="0021216E">
      <w:pPr>
        <w:ind w:firstLine="708"/>
        <w:jc w:val="both"/>
        <w:outlineLvl w:val="0"/>
      </w:pPr>
      <w:proofErr w:type="gramStart"/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rPr>
          <w:bCs/>
        </w:rPr>
        <w:t xml:space="preserve">54:35:041122:0025 площадью 0,4702 га, расположенного по адресу: </w:t>
      </w:r>
      <w:r>
        <w:t>обл. Новосибирская, г. Новосибирск, ул. </w:t>
      </w:r>
      <w:proofErr w:type="spellStart"/>
      <w:r>
        <w:t>Тайгинская</w:t>
      </w:r>
      <w:proofErr w:type="spellEnd"/>
      <w:r>
        <w:t xml:space="preserve">, 11 в Калининском районе (зона производственных объектов с различными нормативами воздействия на окружающую среду (П-1)), </w:t>
      </w:r>
      <w:r>
        <w:rPr>
          <w:bCs/>
        </w:rPr>
        <w:t xml:space="preserve">с </w:t>
      </w:r>
      <w:r>
        <w:t>3 м до 0 м с северной стороны</w:t>
      </w:r>
      <w:proofErr w:type="gramEnd"/>
      <w:r>
        <w:t xml:space="preserve"> в габаритах объе</w:t>
      </w:r>
      <w:r>
        <w:t>к</w:t>
      </w:r>
      <w:r>
        <w:t>та капитального строительства;</w:t>
      </w:r>
    </w:p>
    <w:p w:rsidR="00563AB1" w:rsidRDefault="00563AB1" w:rsidP="0021216E">
      <w:pPr>
        <w:ind w:right="11" w:firstLine="708"/>
        <w:jc w:val="both"/>
      </w:pPr>
      <w:proofErr w:type="gramStart"/>
      <w:r>
        <w:rPr>
          <w:bCs/>
          <w:iCs/>
        </w:rPr>
        <w:t>в части уменьшения минимального процента застройки с 40 % до 23 %</w:t>
      </w:r>
      <w:r>
        <w:t xml:space="preserve"> </w:t>
      </w:r>
      <w:r>
        <w:rPr>
          <w:bCs/>
          <w:iCs/>
        </w:rPr>
        <w:t xml:space="preserve">в </w:t>
      </w:r>
      <w:r>
        <w:t>границах земельного участка с кадастровым номером</w:t>
      </w:r>
      <w:r>
        <w:rPr>
          <w:bCs/>
        </w:rPr>
        <w:t xml:space="preserve"> 54:35:041122:0025 </w:t>
      </w:r>
      <w:r>
        <w:t>площ</w:t>
      </w:r>
      <w:r>
        <w:t>а</w:t>
      </w:r>
      <w:r>
        <w:t xml:space="preserve">дью </w:t>
      </w:r>
      <w:r>
        <w:rPr>
          <w:bCs/>
        </w:rPr>
        <w:t>0,4702 га,</w:t>
      </w:r>
      <w:r>
        <w:t xml:space="preserve"> расположенного по адресу: обл. Новосибирская, г. Новосибирск, ул. </w:t>
      </w:r>
      <w:proofErr w:type="spellStart"/>
      <w:r>
        <w:t>Тайгинская</w:t>
      </w:r>
      <w:proofErr w:type="spellEnd"/>
      <w:r>
        <w:t>, 11 в Калининском районе (зона производственных объектов с различными нормативами воздействия на окружающую среду (П-1)</w:t>
      </w:r>
      <w:r>
        <w:rPr>
          <w:bCs/>
        </w:rPr>
        <w:t>), в</w:t>
      </w:r>
      <w:r>
        <w:t xml:space="preserve"> связи с н</w:t>
      </w:r>
      <w:r>
        <w:t>а</w:t>
      </w:r>
      <w:r>
        <w:t>рушением требований части 1 статьи 48 Градостроительного кодекса Российской</w:t>
      </w:r>
      <w:proofErr w:type="gramEnd"/>
      <w:r>
        <w:t xml:space="preserve"> Федерации,</w:t>
      </w:r>
      <w:r w:rsidRPr="00066A06">
        <w:t xml:space="preserve"> </w:t>
      </w:r>
      <w:r>
        <w:t>в соответствии с пунктом 2.13 административного регламента пр</w:t>
      </w:r>
      <w:r>
        <w:t>е</w:t>
      </w:r>
      <w:r>
        <w:t>доставления муниципальной услуги по предоставлению разрешения на отклон</w:t>
      </w:r>
      <w:r>
        <w:t>е</w:t>
      </w:r>
      <w:r>
        <w:t>ние от предельных параметров разрешенного строительства, реконструкции объектов капитального строительства, утвержденного постановлением мэрии г</w:t>
      </w:r>
      <w:r>
        <w:t>о</w:t>
      </w:r>
      <w:r>
        <w:t xml:space="preserve">рода Новосибирска от 10.06.2013 № 5459, а именно </w:t>
      </w:r>
      <w:r w:rsidR="0021216E">
        <w:t xml:space="preserve">в связи с тем, что </w:t>
      </w:r>
      <w:r>
        <w:t>архитекту</w:t>
      </w:r>
      <w:r>
        <w:t>р</w:t>
      </w:r>
      <w:r>
        <w:t>но-строительное проектирование осуществляется за пределами границ принадлежащего правообладателю земельного участка.</w:t>
      </w:r>
    </w:p>
    <w:p w:rsidR="00563AB1" w:rsidRDefault="00563AB1" w:rsidP="0021216E">
      <w:pPr>
        <w:ind w:right="11"/>
        <w:jc w:val="both"/>
      </w:pPr>
      <w:r>
        <w:tab/>
        <w:t>1.4. Обществу с ограниченной ответственностью «Компания «</w:t>
      </w:r>
      <w:proofErr w:type="spellStart"/>
      <w:r>
        <w:t>СибИнвест</w:t>
      </w:r>
      <w:proofErr w:type="spellEnd"/>
      <w:r>
        <w:t xml:space="preserve"> Групп» (на основании заявления в связи с тем, что наличие инженерных сетей я</w:t>
      </w:r>
      <w:r>
        <w:t>в</w:t>
      </w:r>
      <w:r>
        <w:lastRenderedPageBreak/>
        <w:t>ляется неблагоприятным для застройки):</w:t>
      </w:r>
    </w:p>
    <w:p w:rsidR="00563AB1" w:rsidRDefault="00563AB1" w:rsidP="0021216E">
      <w:pPr>
        <w:ind w:firstLine="708"/>
        <w:jc w:val="both"/>
        <w:outlineLvl w:val="0"/>
      </w:pPr>
      <w:proofErr w:type="gramStart"/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rPr>
          <w:bCs/>
        </w:rPr>
        <w:t xml:space="preserve">54:35:031065:227 площадью 0,2702 га, расположенного по адресу: </w:t>
      </w:r>
      <w:r>
        <w:t xml:space="preserve">обл. Новосибирская, г. Новосибирск, ул. Кубовая в </w:t>
      </w:r>
      <w:proofErr w:type="spellStart"/>
      <w:r>
        <w:t>Заельцовском</w:t>
      </w:r>
      <w:proofErr w:type="spellEnd"/>
      <w:r>
        <w:t xml:space="preserve"> районе (зона делового, общественного и коммерческого назначения (ОД-1)), </w:t>
      </w:r>
      <w:r>
        <w:rPr>
          <w:bCs/>
        </w:rPr>
        <w:t xml:space="preserve">с </w:t>
      </w:r>
      <w:r>
        <w:t>3 м до 0 м с восточной стороны, с 3 м до 0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с северной стороны в габаритах объекта кап</w:t>
      </w:r>
      <w:r>
        <w:t>и</w:t>
      </w:r>
      <w:r>
        <w:t>тального строительства;</w:t>
      </w:r>
    </w:p>
    <w:p w:rsidR="00563AB1" w:rsidRPr="005B2698" w:rsidRDefault="00563AB1" w:rsidP="00212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54:35:031065:231 площадью 0,3655 га,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обл. Новосибирская, г. Новосибирск, ул. Кубовая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(зона делового, общественного и коммерческого назначения (ОД-1)),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 м до 0 м с западной, южной сторон в габаритах объекта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отсутствием оснований, предусмотренных частью 1 статьи 40 Градостро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кодекса Российской Федерации, в соответствии с пунктом 2.13 административного регламента предоставления муниципальной услуги по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постановлением мэрии города Новосибирска от 10.06.2013 № 5459, а именно</w:t>
      </w:r>
      <w:r w:rsidR="0021216E" w:rsidRPr="0021216E">
        <w:rPr>
          <w:rFonts w:ascii="Times New Roman" w:hAnsi="Times New Roman" w:cs="Times New Roman"/>
          <w:sz w:val="28"/>
          <w:szCs w:val="28"/>
        </w:rPr>
        <w:t xml:space="preserve"> </w:t>
      </w:r>
      <w:r w:rsidR="0021216E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наличие инженерных сетей не является неблагоприятным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застройки.</w:t>
      </w:r>
    </w:p>
    <w:p w:rsidR="00563AB1" w:rsidRDefault="00563AB1" w:rsidP="0021216E">
      <w:pPr>
        <w:ind w:firstLine="708"/>
        <w:jc w:val="both"/>
        <w:outlineLvl w:val="0"/>
        <w:rPr>
          <w:spacing w:val="-8"/>
        </w:rPr>
      </w:pPr>
      <w:r>
        <w:rPr>
          <w:color w:val="000000"/>
        </w:rPr>
        <w:t>2. </w:t>
      </w:r>
      <w:r>
        <w:t xml:space="preserve">Департаменту строительства и архитектуры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</w:t>
      </w:r>
      <w:r w:rsidR="0021216E">
        <w:t xml:space="preserve"> в инфо</w:t>
      </w:r>
      <w:r w:rsidR="0021216E">
        <w:t>р</w:t>
      </w:r>
      <w:r w:rsidR="0021216E">
        <w:t>мационно-телекоммуникационной сети «Интернет»</w:t>
      </w:r>
      <w:r>
        <w:t>.</w:t>
      </w:r>
    </w:p>
    <w:p w:rsidR="00563AB1" w:rsidRDefault="00563AB1" w:rsidP="0021216E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постановления.</w:t>
      </w:r>
    </w:p>
    <w:p w:rsidR="00563AB1" w:rsidRDefault="00563AB1" w:rsidP="0021216E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</w:t>
      </w:r>
      <w:r w:rsidR="0021216E">
        <w:t xml:space="preserve">города Новосибирска </w:t>
      </w:r>
      <w:r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933"/>
        <w:gridCol w:w="3013"/>
        <w:gridCol w:w="3261"/>
      </w:tblGrid>
      <w:tr w:rsidR="0021216E" w:rsidRPr="00106B12" w:rsidTr="0021216E">
        <w:tc>
          <w:tcPr>
            <w:tcW w:w="6946" w:type="dxa"/>
            <w:gridSpan w:val="2"/>
          </w:tcPr>
          <w:p w:rsidR="0021216E" w:rsidRPr="00106B12" w:rsidRDefault="0021216E" w:rsidP="0021216E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21216E" w:rsidRPr="00F77532" w:rsidRDefault="0021216E" w:rsidP="0021216E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  <w:tr w:rsidR="00563AB1" w:rsidTr="0021216E">
        <w:tblPrEx>
          <w:tblLook w:val="04A0"/>
        </w:tblPrEx>
        <w:trPr>
          <w:gridAfter w:val="2"/>
          <w:wAfter w:w="6233" w:type="dxa"/>
          <w:trHeight w:val="1293"/>
        </w:trPr>
        <w:tc>
          <w:tcPr>
            <w:tcW w:w="3933" w:type="dxa"/>
          </w:tcPr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1216E" w:rsidRDefault="0021216E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563AB1" w:rsidRDefault="00563AB1" w:rsidP="0021216E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2275069</w:t>
            </w:r>
          </w:p>
          <w:p w:rsidR="00563AB1" w:rsidRDefault="00563AB1" w:rsidP="0021216E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0C4A8B" w:rsidRPr="0021216E" w:rsidRDefault="000C4A8B" w:rsidP="00563AB1">
      <w:pPr>
        <w:rPr>
          <w:sz w:val="8"/>
        </w:rPr>
      </w:pPr>
    </w:p>
    <w:sectPr w:rsidR="000C4A8B" w:rsidRPr="0021216E" w:rsidSect="003E02F1">
      <w:headerReference w:type="default" r:id="rId8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6E" w:rsidRDefault="0021216E" w:rsidP="002C0E71">
      <w:r>
        <w:separator/>
      </w:r>
    </w:p>
  </w:endnote>
  <w:endnote w:type="continuationSeparator" w:id="0">
    <w:p w:rsidR="0021216E" w:rsidRDefault="0021216E" w:rsidP="002C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6E" w:rsidRDefault="0021216E" w:rsidP="002C0E71">
      <w:r>
        <w:separator/>
      </w:r>
    </w:p>
  </w:footnote>
  <w:footnote w:type="continuationSeparator" w:id="0">
    <w:p w:rsidR="0021216E" w:rsidRDefault="0021216E" w:rsidP="002C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16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1216E" w:rsidRDefault="00F34E66">
        <w:pPr>
          <w:pStyle w:val="a6"/>
          <w:jc w:val="center"/>
        </w:pPr>
        <w:r w:rsidRPr="0021216E">
          <w:rPr>
            <w:sz w:val="24"/>
          </w:rPr>
          <w:fldChar w:fldCharType="begin"/>
        </w:r>
        <w:r w:rsidR="0021216E" w:rsidRPr="0021216E">
          <w:rPr>
            <w:sz w:val="24"/>
          </w:rPr>
          <w:instrText xml:space="preserve"> PAGE   \* MERGEFORMAT </w:instrText>
        </w:r>
        <w:r w:rsidRPr="0021216E">
          <w:rPr>
            <w:sz w:val="24"/>
          </w:rPr>
          <w:fldChar w:fldCharType="separate"/>
        </w:r>
        <w:r w:rsidR="009D03A6">
          <w:rPr>
            <w:noProof/>
            <w:sz w:val="24"/>
          </w:rPr>
          <w:t>2</w:t>
        </w:r>
        <w:r w:rsidRPr="0021216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8B32B7"/>
    <w:multiLevelType w:val="hybridMultilevel"/>
    <w:tmpl w:val="4A9A6BDC"/>
    <w:lvl w:ilvl="0" w:tplc="218C5F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91"/>
    <w:rsid w:val="00010317"/>
    <w:rsid w:val="000358CD"/>
    <w:rsid w:val="000767C0"/>
    <w:rsid w:val="00097E49"/>
    <w:rsid w:val="000A5026"/>
    <w:rsid w:val="000B3A67"/>
    <w:rsid w:val="000C4A8B"/>
    <w:rsid w:val="00113D22"/>
    <w:rsid w:val="00136935"/>
    <w:rsid w:val="00141B45"/>
    <w:rsid w:val="00144891"/>
    <w:rsid w:val="00171B4E"/>
    <w:rsid w:val="00176A16"/>
    <w:rsid w:val="001A743A"/>
    <w:rsid w:val="001B6BA2"/>
    <w:rsid w:val="001C4A24"/>
    <w:rsid w:val="001C688B"/>
    <w:rsid w:val="001D59A3"/>
    <w:rsid w:val="001E50A2"/>
    <w:rsid w:val="001F2217"/>
    <w:rsid w:val="001F7FE0"/>
    <w:rsid w:val="00205CAD"/>
    <w:rsid w:val="0021216E"/>
    <w:rsid w:val="00227DC2"/>
    <w:rsid w:val="002565DB"/>
    <w:rsid w:val="00291ECD"/>
    <w:rsid w:val="002B4A49"/>
    <w:rsid w:val="002C0E71"/>
    <w:rsid w:val="002C1DA4"/>
    <w:rsid w:val="002F6986"/>
    <w:rsid w:val="002F6DBC"/>
    <w:rsid w:val="00310610"/>
    <w:rsid w:val="003324B4"/>
    <w:rsid w:val="00337F49"/>
    <w:rsid w:val="003564C9"/>
    <w:rsid w:val="00380AA0"/>
    <w:rsid w:val="0038238A"/>
    <w:rsid w:val="00384BCD"/>
    <w:rsid w:val="00384C59"/>
    <w:rsid w:val="003A30AB"/>
    <w:rsid w:val="003A79DA"/>
    <w:rsid w:val="003C62DC"/>
    <w:rsid w:val="003E02F1"/>
    <w:rsid w:val="00401447"/>
    <w:rsid w:val="0043704A"/>
    <w:rsid w:val="00443BDB"/>
    <w:rsid w:val="004443EC"/>
    <w:rsid w:val="00460758"/>
    <w:rsid w:val="004755CF"/>
    <w:rsid w:val="0049729D"/>
    <w:rsid w:val="004C13F2"/>
    <w:rsid w:val="004C3F8B"/>
    <w:rsid w:val="00501A6C"/>
    <w:rsid w:val="005040D0"/>
    <w:rsid w:val="00516D90"/>
    <w:rsid w:val="00550785"/>
    <w:rsid w:val="00556F5C"/>
    <w:rsid w:val="00563AB1"/>
    <w:rsid w:val="005739D5"/>
    <w:rsid w:val="00581787"/>
    <w:rsid w:val="005B2818"/>
    <w:rsid w:val="005F0248"/>
    <w:rsid w:val="00612EF8"/>
    <w:rsid w:val="00616CCD"/>
    <w:rsid w:val="0062260A"/>
    <w:rsid w:val="006258B1"/>
    <w:rsid w:val="00665A7A"/>
    <w:rsid w:val="00677B3D"/>
    <w:rsid w:val="006A7FAF"/>
    <w:rsid w:val="006C4221"/>
    <w:rsid w:val="00721233"/>
    <w:rsid w:val="00743284"/>
    <w:rsid w:val="00750117"/>
    <w:rsid w:val="007656B1"/>
    <w:rsid w:val="0079479F"/>
    <w:rsid w:val="00797DE7"/>
    <w:rsid w:val="007D6302"/>
    <w:rsid w:val="007E5B4F"/>
    <w:rsid w:val="007F6C87"/>
    <w:rsid w:val="00800DE9"/>
    <w:rsid w:val="00840578"/>
    <w:rsid w:val="00883B5B"/>
    <w:rsid w:val="008A219C"/>
    <w:rsid w:val="008A7133"/>
    <w:rsid w:val="008B4C05"/>
    <w:rsid w:val="008C4E82"/>
    <w:rsid w:val="008C646E"/>
    <w:rsid w:val="008D0790"/>
    <w:rsid w:val="008E2D4B"/>
    <w:rsid w:val="008F3C06"/>
    <w:rsid w:val="00930CE2"/>
    <w:rsid w:val="00972927"/>
    <w:rsid w:val="009A0191"/>
    <w:rsid w:val="009A2FD5"/>
    <w:rsid w:val="009D03A6"/>
    <w:rsid w:val="009F770F"/>
    <w:rsid w:val="00A00983"/>
    <w:rsid w:val="00A21451"/>
    <w:rsid w:val="00A336BE"/>
    <w:rsid w:val="00A355ED"/>
    <w:rsid w:val="00A3645D"/>
    <w:rsid w:val="00A37393"/>
    <w:rsid w:val="00A4595E"/>
    <w:rsid w:val="00AC462D"/>
    <w:rsid w:val="00AD4846"/>
    <w:rsid w:val="00AF6D35"/>
    <w:rsid w:val="00AF7986"/>
    <w:rsid w:val="00B00380"/>
    <w:rsid w:val="00B10CB1"/>
    <w:rsid w:val="00B50DC0"/>
    <w:rsid w:val="00B51417"/>
    <w:rsid w:val="00B51D8B"/>
    <w:rsid w:val="00B532E2"/>
    <w:rsid w:val="00B617C6"/>
    <w:rsid w:val="00B80513"/>
    <w:rsid w:val="00BD2383"/>
    <w:rsid w:val="00BE1196"/>
    <w:rsid w:val="00BF39DF"/>
    <w:rsid w:val="00C10D6B"/>
    <w:rsid w:val="00C24C8C"/>
    <w:rsid w:val="00C378BA"/>
    <w:rsid w:val="00C52E2D"/>
    <w:rsid w:val="00CA2C92"/>
    <w:rsid w:val="00CA4F9E"/>
    <w:rsid w:val="00CB59D0"/>
    <w:rsid w:val="00CE5D68"/>
    <w:rsid w:val="00D1210B"/>
    <w:rsid w:val="00D124C6"/>
    <w:rsid w:val="00D21F30"/>
    <w:rsid w:val="00D91A43"/>
    <w:rsid w:val="00DA52BD"/>
    <w:rsid w:val="00DF0021"/>
    <w:rsid w:val="00E10850"/>
    <w:rsid w:val="00E13B95"/>
    <w:rsid w:val="00E50FDA"/>
    <w:rsid w:val="00E52BFE"/>
    <w:rsid w:val="00E55788"/>
    <w:rsid w:val="00E60967"/>
    <w:rsid w:val="00E6590E"/>
    <w:rsid w:val="00E65CBC"/>
    <w:rsid w:val="00E8636C"/>
    <w:rsid w:val="00EB233F"/>
    <w:rsid w:val="00EB33A7"/>
    <w:rsid w:val="00ED0A2F"/>
    <w:rsid w:val="00ED32EE"/>
    <w:rsid w:val="00EE08D8"/>
    <w:rsid w:val="00EE3754"/>
    <w:rsid w:val="00F02472"/>
    <w:rsid w:val="00F34E66"/>
    <w:rsid w:val="00F46F0F"/>
    <w:rsid w:val="00F54423"/>
    <w:rsid w:val="00F5733A"/>
    <w:rsid w:val="00F82DEE"/>
    <w:rsid w:val="00FA414B"/>
    <w:rsid w:val="00FC1B0A"/>
    <w:rsid w:val="00FE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191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A019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9A0191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9A0191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9A0191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rsid w:val="009A0191"/>
  </w:style>
  <w:style w:type="character" w:customStyle="1" w:styleId="a5">
    <w:name w:val="Основной текст Знак"/>
    <w:basedOn w:val="a0"/>
    <w:link w:val="a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C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E71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rsid w:val="002C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0E71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497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Елена Владимировна</dc:creator>
  <cp:lastModifiedBy>rveselkina</cp:lastModifiedBy>
  <cp:revision>17</cp:revision>
  <cp:lastPrinted>2015-04-02T08:56:00Z</cp:lastPrinted>
  <dcterms:created xsi:type="dcterms:W3CDTF">2015-03-24T07:04:00Z</dcterms:created>
  <dcterms:modified xsi:type="dcterms:W3CDTF">2015-04-03T04:55:00Z</dcterms:modified>
</cp:coreProperties>
</file>